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58" w:rsidRPr="00780F74" w:rsidRDefault="00044958" w:rsidP="0004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F74">
        <w:rPr>
          <w:rFonts w:ascii="Verdana" w:eastAsia="Times New Roman" w:hAnsi="Verdana" w:cs="Times New Roman"/>
          <w:b/>
          <w:bCs/>
          <w:sz w:val="20"/>
          <w:lang w:eastAsia="pt-BR"/>
        </w:rPr>
        <w:t>O cruzamento ou a inseminação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b/>
          <w:bCs/>
          <w:sz w:val="20"/>
          <w:lang w:eastAsia="pt-BR"/>
        </w:rPr>
        <w:t>A determinação do momento ótimo para o cruzamento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Levando em conta a persistência do poder fecundante dos espermatozóides (aproximadamente 48 horas nas vias genitais femininas), é possível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otimizar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as chances de fecundação sincronizando o encontro de gametas "na sua melhor forma" para uma fertilidade e uma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prolificidade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ótimas. O ideal é que ocorra o cruzamento ou a inseminação nas 48 horas que se seguem à postura dos ovócitos para que os óvulos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fecundáveis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 os espermatozóides fecundantes sejam na sua maioria capazes de chega ao "local de encontro" (os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ovidutos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). Os óvulos permanecem fecundáveis durante um período de dois dias depois da maturação (algumas raças parecem até ficar fecundáveis durante mais de quatro dias) explicando assim as possibilidades de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superfecundação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por dois pais diferentes na espécie canina.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Toda a dificuldade consiste, portanto, em observar, o mais precisamente possível, os sinais biológicos da ovulação.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Para detectar o período de ovulação numa cadela no cio, o criador dispõe de varias ferramentas de precisão variável e complementar.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· O clareamento das perdas vulvares assinala geralmente o fim do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sem ser um sinal fiável da ovulação: algumas cadelas podem apresentar sangramento até ao final do estro;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· O cruzamento praticado sistematicamente por doze (12) dias após as primeiras perdas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sangüíneas, em seguida dobrado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dois dias mais tarde, é um cálculo prático, desde que se observem muito atentamente as primeiras perdas sangüíneas;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Contudo, esta estimativa permanece imprecisa porque algumas cadelas (aproximadamente 20%) ovulam fora deste período e ficarão, portanto, vazias ou irão parir apenas alguns filhotes.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· A aceitação do macho ou do rufião e a observação do reflexo de desvio lateral da cauda, também não são característicos da ovulação. A título de exemplo, já se viram cadelas permitir o acasalamento a partir do começo do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quando, na verdade, nos casos extremos, ovulam só trinta dias mais tarde!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Muitas cadelas permitem também, a cópula durante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pseudocios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parto,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infecções urinarias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, ou quando secreções de estrógenos por quistos foliculares se traduzem por ninfomania.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· A medida da resistividade do muco vaginal com a ajuda de um galvanômetro permite apreciar com bastante precisão a fluidez das secreções vaginais. Este parâmetro geralmente cai logo depois da ovulação assinalando o fim do período de impregnação estrogênica e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portanto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, a renovação rápida das células vaginais. A sua medida fornece um valor diagnóstico infelizmente, muito tardio em criações, porque é mais útil prever a iminência da ovulação do que estar diante do ato consumado.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· As fitas reativas que permitem detectar as variações bioquímicas do muco vaginal são difíceis devem ser introduzidas profundamente dentro da vagina para evitar uma contaminação pela urina, o que é difícil. Os resultados são geralmente imprecisos (a mudança de cor pode ser observada nos três dias que precedem ou que se seguem à ovulação) e, portanto, pouco fiáveis.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· De acordo com as colorações utilizadas, os esfregaços vaginais permitem visualizar diretamente a mudança de aspecto das células vaginais, correlacionando-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>as com as variações hormonais, principalmente a de estrógenos. Esta técnica simples e econômica é atualmente empregada como rotina pelos veterinários e os criadores para realizar uma primeira estimativa da fase do ciclo sexual.</w:t>
      </w:r>
    </w:p>
    <w:p w:rsidR="00044958" w:rsidRPr="00780F74" w:rsidRDefault="00044958" w:rsidP="0004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F74">
        <w:rPr>
          <w:rFonts w:ascii="Verdana" w:eastAsia="Times New Roman" w:hAnsi="Verdana" w:cs="Times New Roman"/>
          <w:b/>
          <w:bCs/>
          <w:sz w:val="20"/>
          <w:lang w:eastAsia="pt-BR"/>
        </w:rPr>
        <w:t>A realização de esfregaço vaginal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Depois de ter examinado o edema vulvar e prendido a comissura vulvar para baixo, 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swab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é introduzido verticalmente ao longo da parede caudal da vagina de forma a evitar ir contra a fossa clitoridiana. Uma vez atingida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a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parte superior da vagina, 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swab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é girado em posição horizontal e introduzido o mais longe possível sem forçar. Por meio de movimentos circulares, as secreções e as células esfoliadas são então coletadas em torno do colo do útero. 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O aspecto do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swab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é habitualmente vermelho no inicio do cio, rosado a incolor no final do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 purulento em caso de infecção vaginal ou uterina.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 extremidade do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swab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é rolada delicadamente numa lâmina previamente desengordurada, evitando passar duas vezes pelo mesmo trajeto para evitar criar aglomerados de células. 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O material coletado, é então fixado com um fixador celular para ser entregue ao veterinário em mãos ou é feita uma coloração para exame imediato.</w:t>
      </w:r>
    </w:p>
    <w:p w:rsidR="00AB6C39" w:rsidRDefault="00044958" w:rsidP="00044958">
      <w:r w:rsidRPr="00780F74">
        <w:rPr>
          <w:rFonts w:ascii="Verdana" w:eastAsia="Times New Roman" w:hAnsi="Verdana" w:cs="Times New Roman"/>
          <w:b/>
          <w:bCs/>
          <w:sz w:val="20"/>
          <w:lang w:eastAsia="pt-BR"/>
        </w:rPr>
        <w:t>A interpretação do esfregaço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Além da estimativa do momento da ovulação, os esfregaços vaginais têm múltiplas indicações.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Depois de uma fuga da cadela ou em caso de suspeita de cruzamento indesejado, o veterinário pode pesquisar a persistência eventual de espermatozóides (até seis horas após o coito). Também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podem-se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estimar os riscos de fecundação em função do estágio do ciclo sexual observado.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A titulo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exemplo, se a cadela se encontra nesse momento em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anestro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em começo de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ou em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metaestro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, estes riscos são mínimos e em qualquer caso menos significativos do que aqueles associados a um aborto médico precoce de conveniência.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Durante o período de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anestro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os esfregaços vaginais também permitem a adoção de alguns tratamentos que são contra-indicados durante os períodos de atividade sexual, tais como a maioria das terapias hormonais.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Finalmente, os esfregaços participam, juntamente com as dosagens hormonais, do diagnóstico de algumas causas de infertilidade (cios silenciosos ou anovulatórios, persistência de um corpo lúteo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secretante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ou infecção vaginal).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Por suas indicações, facilidade de execução, rapidez e baixo custo, os esfregaços vaginas são, portanto, serviços de grande utilidade em reprodução canina. Contudo, em alguns casos, quando a interpretação de um esfregaço causa dúvidas ou não de acordo com a clinica, ou ainda se o custo de um deslocamento ou de uma inseminação é significativo, o proprietário poderá completar esta análise com a ajuda de uma ferramenta muito 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precisa,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 dosagem da progesterona sangüínea. 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· A dosagem da progesterona sangüínea (sinal da postura ovular): próximo ao 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 xml:space="preserve">período de ovulação da cadela, a concentração de progesterona no plasma se eleva normalmente em alguns dias (cinco em média) em relação ao seu valor de base (menos de 2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nanogramas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/ml) a mais de 40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ng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/ml. Esta elevação pode ser mais ou menos.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Rápida de uma cadela a outra e para uma mesma cadela, de um ciclo a outro. Se lembrarmos que 80% das cadelas apresentam secreções por volta do seu 12º dia de cio</w:t>
      </w:r>
      <w:proofErr w:type="gram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, deduzimos</w:t>
      </w:r>
      <w:proofErr w:type="gram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que não é raro observar ovulações mais precoces ou mais tardias, particularmente em algumas raças predispostas (Dobermann, Pastor Alemão).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Considera-se classicamente que a ovulação ocorreu quando o nível de progesterona ultrapassa os 15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ng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/ml (cuidado no entanto com as variações ligadas aos métodos de dosagem dos diferentes laboratórios) e conseqüentemente a cópula ou a inseminação artificial dever ocorrer nas próximas 48 horas levando em conta o tempo de maturação dos ovócitos e de um outro cruzamento dois dias depois do primeiro.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Este sinal, bastante preciso da libertação de ovócitos permite não apenas aumentar o índice de sucesso dos cruzamentos e das inseminações, mas também a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prolificidade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Às vezes ninhadas pouco pequenas em muitos casos atribuídos à idade da cadela ou a uma libertação </w:t>
      </w:r>
      <w:proofErr w:type="spellStart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>ovocitária</w:t>
      </w:r>
      <w:proofErr w:type="spellEnd"/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insuficiente, estão simplesmente relacionadas à má escolha da data do acasalamento.</w:t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780F74">
        <w:rPr>
          <w:rFonts w:ascii="Verdana" w:eastAsia="Times New Roman" w:hAnsi="Verdana" w:cs="Times New Roman"/>
          <w:sz w:val="20"/>
          <w:szCs w:val="20"/>
          <w:lang w:eastAsia="pt-BR"/>
        </w:rPr>
        <w:br/>
        <w:t>Portanto, a utilização conjunta e judiciosa dos esfregaços vaginais e das dosagens de progesterona, respeitando um protocolo preciso, possibilita um acompanhamento do cio bastante satisfatório e economicamente rentável: aumento da fertilidade e redução dos deslocamentos inúteis por cruzamentos improdutivos.</w:t>
      </w:r>
    </w:p>
    <w:sectPr w:rsidR="00AB6C39" w:rsidSect="00AB6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044958"/>
    <w:rsid w:val="00044958"/>
    <w:rsid w:val="00AB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2017-10-24T18:12:00Z</dcterms:created>
  <dcterms:modified xsi:type="dcterms:W3CDTF">2017-10-24T18:12:00Z</dcterms:modified>
</cp:coreProperties>
</file>